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ECEA" w14:textId="20F5B922" w:rsidR="00117951" w:rsidRDefault="00117951" w:rsidP="00F13543">
      <w:pPr>
        <w:spacing w:line="276" w:lineRule="auto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70BE9A1B" w14:textId="3E579E86" w:rsidR="00863238" w:rsidRPr="00EF55D3" w:rsidRDefault="00863238" w:rsidP="00863238">
      <w:pPr>
        <w:jc w:val="center"/>
        <w:rPr>
          <w:rFonts w:cs="Calibri Light"/>
          <w:b/>
          <w:sz w:val="28"/>
          <w:szCs w:val="28"/>
          <w:lang w:val="en-GB"/>
        </w:rPr>
      </w:pPr>
      <w:r w:rsidRPr="00EF55D3">
        <w:rPr>
          <w:rFonts w:cs="Calibri Light"/>
          <w:b/>
          <w:sz w:val="28"/>
          <w:szCs w:val="28"/>
          <w:lang w:val="en-GB"/>
        </w:rPr>
        <w:t>Invitation to become an Official Sponsor</w:t>
      </w:r>
      <w:r w:rsidR="00686906">
        <w:rPr>
          <w:rFonts w:cs="Calibri Light"/>
          <w:b/>
          <w:sz w:val="28"/>
          <w:szCs w:val="28"/>
          <w:lang w:val="en-GB"/>
        </w:rPr>
        <w:t xml:space="preserve"> and/or Exhibitor</w:t>
      </w:r>
    </w:p>
    <w:p w14:paraId="4BF6EC2C" w14:textId="7AAC64C7" w:rsidR="00863238" w:rsidRDefault="00863238" w:rsidP="00863238">
      <w:pPr>
        <w:rPr>
          <w:rFonts w:cs="Calibri Light"/>
          <w:lang w:val="en-GB"/>
        </w:rPr>
      </w:pPr>
    </w:p>
    <w:p w14:paraId="42A31F4D" w14:textId="77777777" w:rsidR="008F4893" w:rsidRDefault="008F4893" w:rsidP="00863238">
      <w:pPr>
        <w:rPr>
          <w:rFonts w:cs="Calibri Light"/>
          <w:lang w:val="en-GB"/>
        </w:rPr>
      </w:pPr>
    </w:p>
    <w:p w14:paraId="43C852D7" w14:textId="16DE4E69" w:rsidR="00863238" w:rsidRPr="00863238" w:rsidRDefault="00863238" w:rsidP="00863238">
      <w:pPr>
        <w:jc w:val="both"/>
        <w:rPr>
          <w:bCs/>
          <w:lang w:val="en-GB"/>
        </w:rPr>
      </w:pPr>
      <w:r>
        <w:rPr>
          <w:rFonts w:cs="Calibri Light"/>
          <w:lang w:val="en-GB"/>
        </w:rPr>
        <w:t xml:space="preserve">The Organizers of </w:t>
      </w:r>
      <w:r w:rsidR="00686906">
        <w:rPr>
          <w:rFonts w:cs="Calibri Light"/>
          <w:lang w:val="en-GB"/>
        </w:rPr>
        <w:t xml:space="preserve">the International Conference and Exhibition </w:t>
      </w:r>
      <w:r w:rsidR="00686906" w:rsidRPr="00686906">
        <w:rPr>
          <w:rFonts w:cs="Calibri Light"/>
          <w:b/>
          <w:bCs/>
          <w:lang w:val="en-GB"/>
        </w:rPr>
        <w:t>“</w:t>
      </w:r>
      <w:r>
        <w:rPr>
          <w:b/>
          <w:lang w:val="en-GB"/>
        </w:rPr>
        <w:t>The Future of Food Safety</w:t>
      </w:r>
      <w:r w:rsidR="00686906">
        <w:rPr>
          <w:b/>
          <w:lang w:val="en-GB"/>
        </w:rPr>
        <w:t>”</w:t>
      </w:r>
      <w:r>
        <w:rPr>
          <w:b/>
          <w:lang w:val="en-GB"/>
        </w:rPr>
        <w:t xml:space="preserve">, </w:t>
      </w:r>
      <w:r w:rsidR="00686906">
        <w:rPr>
          <w:b/>
          <w:lang w:val="en-GB"/>
        </w:rPr>
        <w:t xml:space="preserve">featured by the </w:t>
      </w:r>
      <w:r>
        <w:rPr>
          <w:b/>
          <w:lang w:val="en-GB"/>
        </w:rPr>
        <w:t>6</w:t>
      </w:r>
      <w:r w:rsidRPr="00863238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MoniQA</w:t>
      </w:r>
      <w:proofErr w:type="spellEnd"/>
      <w:r>
        <w:rPr>
          <w:b/>
          <w:lang w:val="en-GB"/>
        </w:rPr>
        <w:t xml:space="preserve"> International </w:t>
      </w:r>
      <w:r w:rsidRPr="00686906">
        <w:rPr>
          <w:b/>
          <w:lang w:val="en-GB"/>
        </w:rPr>
        <w:t xml:space="preserve">Conference, Rome, Italy, 9-11 November 2020, </w:t>
      </w:r>
      <w:r w:rsidRPr="00686906">
        <w:rPr>
          <w:bCs/>
          <w:lang w:val="en-GB"/>
        </w:rPr>
        <w:t xml:space="preserve">would like to invite you to sponsor this high level meeting and help make it a success by signing up for one of our sponsor packages at </w:t>
      </w:r>
      <w:hyperlink r:id="rId7" w:history="1">
        <w:r w:rsidR="00686906" w:rsidRPr="00686906">
          <w:rPr>
            <w:rStyle w:val="Hyperlink"/>
            <w:bCs/>
            <w:lang w:val="en-GB"/>
          </w:rPr>
          <w:t>https://foodsafetyrome2020.moniqa.org/sites/default/files/pdf/MoniQA-Conference-Rome-2020-Sponsoring-Form_2020-02-20.pdf</w:t>
        </w:r>
      </w:hyperlink>
      <w:r w:rsidR="00686906" w:rsidRPr="00686906">
        <w:rPr>
          <w:bCs/>
          <w:lang w:val="en-GB"/>
        </w:rPr>
        <w:t xml:space="preserve">. </w:t>
      </w:r>
      <w:r w:rsidRPr="00686906">
        <w:rPr>
          <w:bCs/>
          <w:lang w:val="en-GB"/>
        </w:rPr>
        <w:t>Various</w:t>
      </w:r>
      <w:r w:rsidRPr="00863238">
        <w:rPr>
          <w:bCs/>
          <w:lang w:val="en-GB"/>
        </w:rPr>
        <w:t xml:space="preserve"> sponsorship packages </w:t>
      </w:r>
      <w:r w:rsidR="00686906">
        <w:rPr>
          <w:bCs/>
          <w:lang w:val="en-GB"/>
        </w:rPr>
        <w:t>have been put together which include different benefits and a number of</w:t>
      </w:r>
      <w:r w:rsidRPr="00863238">
        <w:rPr>
          <w:bCs/>
          <w:lang w:val="en-GB"/>
        </w:rPr>
        <w:t xml:space="preserve"> </w:t>
      </w:r>
      <w:r>
        <w:rPr>
          <w:bCs/>
          <w:lang w:val="en-GB"/>
        </w:rPr>
        <w:t>complimentary</w:t>
      </w:r>
      <w:r w:rsidRPr="00863238">
        <w:rPr>
          <w:bCs/>
          <w:lang w:val="en-GB"/>
        </w:rPr>
        <w:t xml:space="preserve"> registrations that you may use to invite your own staff and/or your clients. </w:t>
      </w:r>
      <w:r w:rsidR="00686906">
        <w:rPr>
          <w:bCs/>
          <w:lang w:val="en-GB"/>
        </w:rPr>
        <w:t xml:space="preserve">The success of this conference depends on your support and we appreciate an early decision and sign up for one of our sponsorship packages. </w:t>
      </w:r>
      <w:r w:rsidR="00686906" w:rsidRPr="00863238">
        <w:rPr>
          <w:bCs/>
          <w:lang w:val="en-GB"/>
        </w:rPr>
        <w:t xml:space="preserve">The sooner you decide to become a sponsor, the more promotion activities leading to the event will be relevant for you. </w:t>
      </w:r>
    </w:p>
    <w:p w14:paraId="771ED340" w14:textId="77777777" w:rsidR="00863238" w:rsidRPr="00863238" w:rsidRDefault="00863238" w:rsidP="00863238">
      <w:pPr>
        <w:jc w:val="both"/>
        <w:rPr>
          <w:bCs/>
          <w:lang w:val="en-GB"/>
        </w:rPr>
      </w:pPr>
    </w:p>
    <w:p w14:paraId="749B3396" w14:textId="6DFE2A41" w:rsidR="00863238" w:rsidRP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>Diamond:</w:t>
      </w:r>
      <w:r w:rsidRPr="00863238">
        <w:rPr>
          <w:bCs/>
          <w:lang w:val="en-GB"/>
        </w:rPr>
        <w:tab/>
        <w:t xml:space="preserve">min. € </w:t>
      </w:r>
      <w:proofErr w:type="gramStart"/>
      <w:r w:rsidRPr="00863238">
        <w:rPr>
          <w:bCs/>
          <w:lang w:val="en-GB"/>
        </w:rPr>
        <w:t>1</w:t>
      </w:r>
      <w:r>
        <w:rPr>
          <w:bCs/>
          <w:lang w:val="en-GB"/>
        </w:rPr>
        <w:t>5</w:t>
      </w:r>
      <w:r w:rsidRPr="00863238">
        <w:rPr>
          <w:bCs/>
          <w:lang w:val="en-GB"/>
        </w:rPr>
        <w:t>,000.-</w:t>
      </w:r>
      <w:proofErr w:type="gramEnd"/>
      <w:r w:rsidRPr="00863238">
        <w:rPr>
          <w:bCs/>
          <w:lang w:val="en-GB"/>
        </w:rPr>
        <w:t>,</w:t>
      </w:r>
      <w:r w:rsidRPr="00863238">
        <w:rPr>
          <w:bCs/>
          <w:lang w:val="en-GB"/>
        </w:rPr>
        <w:tab/>
        <w:t xml:space="preserve">including </w:t>
      </w:r>
      <w:r>
        <w:rPr>
          <w:bCs/>
          <w:lang w:val="en-GB"/>
        </w:rPr>
        <w:t xml:space="preserve">a </w:t>
      </w:r>
      <w:r w:rsidRPr="00863238">
        <w:rPr>
          <w:bCs/>
          <w:lang w:val="en-GB"/>
        </w:rPr>
        <w:t>table top and 5 free registrations &amp; Conference Dinner</w:t>
      </w:r>
    </w:p>
    <w:p w14:paraId="0116ECB8" w14:textId="2728280A" w:rsidR="00863238" w:rsidRP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 xml:space="preserve">Platinum: </w:t>
      </w:r>
      <w:r w:rsidRPr="00863238">
        <w:rPr>
          <w:bCs/>
          <w:lang w:val="en-GB"/>
        </w:rPr>
        <w:tab/>
        <w:t xml:space="preserve">min. € </w:t>
      </w:r>
      <w:proofErr w:type="gramStart"/>
      <w:r>
        <w:rPr>
          <w:bCs/>
          <w:lang w:val="en-GB"/>
        </w:rPr>
        <w:t>12</w:t>
      </w:r>
      <w:r w:rsidRPr="00863238">
        <w:rPr>
          <w:bCs/>
          <w:lang w:val="en-GB"/>
        </w:rPr>
        <w:t>,000.-</w:t>
      </w:r>
      <w:proofErr w:type="gramEnd"/>
      <w:r w:rsidRPr="00863238">
        <w:rPr>
          <w:bCs/>
          <w:lang w:val="en-GB"/>
        </w:rPr>
        <w:tab/>
        <w:t xml:space="preserve">including </w:t>
      </w:r>
      <w:r>
        <w:rPr>
          <w:bCs/>
          <w:lang w:val="en-GB"/>
        </w:rPr>
        <w:t xml:space="preserve">a </w:t>
      </w:r>
      <w:r w:rsidRPr="00863238">
        <w:rPr>
          <w:bCs/>
          <w:lang w:val="en-GB"/>
        </w:rPr>
        <w:t>table top and 4 free registrations &amp; Conference Dinner</w:t>
      </w:r>
    </w:p>
    <w:p w14:paraId="6783FF9F" w14:textId="2D360F57" w:rsidR="00863238" w:rsidRP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>Gold:</w:t>
      </w:r>
      <w:r w:rsidRPr="00863238">
        <w:rPr>
          <w:bCs/>
          <w:lang w:val="en-GB"/>
        </w:rPr>
        <w:tab/>
      </w:r>
      <w:r w:rsidRPr="00863238">
        <w:rPr>
          <w:bCs/>
          <w:lang w:val="en-GB"/>
        </w:rPr>
        <w:tab/>
        <w:t xml:space="preserve">min. € </w:t>
      </w:r>
      <w:proofErr w:type="gramStart"/>
      <w:r>
        <w:rPr>
          <w:bCs/>
          <w:lang w:val="en-GB"/>
        </w:rPr>
        <w:t>9</w:t>
      </w:r>
      <w:r w:rsidRPr="00863238">
        <w:rPr>
          <w:bCs/>
          <w:lang w:val="en-GB"/>
        </w:rPr>
        <w:t>,000.-</w:t>
      </w:r>
      <w:proofErr w:type="gramEnd"/>
      <w:r w:rsidRPr="00863238">
        <w:rPr>
          <w:bCs/>
          <w:lang w:val="en-GB"/>
        </w:rPr>
        <w:tab/>
        <w:t xml:space="preserve">including </w:t>
      </w:r>
      <w:r>
        <w:rPr>
          <w:bCs/>
          <w:lang w:val="en-GB"/>
        </w:rPr>
        <w:t xml:space="preserve">a </w:t>
      </w:r>
      <w:r w:rsidRPr="00863238">
        <w:rPr>
          <w:bCs/>
          <w:lang w:val="en-GB"/>
        </w:rPr>
        <w:t>table top and 3 free registrations &amp; Conference Dinner</w:t>
      </w:r>
    </w:p>
    <w:p w14:paraId="4DF25A1E" w14:textId="42AAE384" w:rsidR="00863238" w:rsidRP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>Silver:</w:t>
      </w:r>
      <w:r w:rsidRPr="00863238">
        <w:rPr>
          <w:bCs/>
          <w:lang w:val="en-GB"/>
        </w:rPr>
        <w:tab/>
      </w:r>
      <w:r w:rsidRPr="00863238">
        <w:rPr>
          <w:bCs/>
          <w:lang w:val="en-GB"/>
        </w:rPr>
        <w:tab/>
        <w:t xml:space="preserve">min. € </w:t>
      </w:r>
      <w:r>
        <w:rPr>
          <w:bCs/>
          <w:lang w:val="en-GB"/>
        </w:rPr>
        <w:t>6000</w:t>
      </w:r>
      <w:r w:rsidRPr="00863238">
        <w:rPr>
          <w:bCs/>
          <w:lang w:val="en-GB"/>
        </w:rPr>
        <w:t>.-</w:t>
      </w:r>
      <w:r w:rsidRPr="00863238">
        <w:rPr>
          <w:bCs/>
          <w:lang w:val="en-GB"/>
        </w:rPr>
        <w:tab/>
        <w:t xml:space="preserve">including </w:t>
      </w:r>
      <w:r>
        <w:rPr>
          <w:bCs/>
          <w:lang w:val="en-GB"/>
        </w:rPr>
        <w:t xml:space="preserve">a </w:t>
      </w:r>
      <w:r w:rsidRPr="00863238">
        <w:rPr>
          <w:bCs/>
          <w:lang w:val="en-GB"/>
        </w:rPr>
        <w:t xml:space="preserve">table top and </w:t>
      </w:r>
      <w:r>
        <w:rPr>
          <w:bCs/>
          <w:lang w:val="en-GB"/>
        </w:rPr>
        <w:t>2</w:t>
      </w:r>
      <w:r w:rsidRPr="00863238">
        <w:rPr>
          <w:bCs/>
          <w:lang w:val="en-GB"/>
        </w:rPr>
        <w:t xml:space="preserve"> free registrations &amp; Conference Dinner</w:t>
      </w:r>
    </w:p>
    <w:p w14:paraId="657810A8" w14:textId="0CB3D8E2" w:rsid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>Bronze:</w:t>
      </w:r>
      <w:r w:rsidRPr="00863238">
        <w:rPr>
          <w:bCs/>
          <w:lang w:val="en-GB"/>
        </w:rPr>
        <w:tab/>
      </w:r>
      <w:r w:rsidRPr="00863238">
        <w:rPr>
          <w:bCs/>
          <w:lang w:val="en-GB"/>
        </w:rPr>
        <w:tab/>
        <w:t xml:space="preserve">min. € </w:t>
      </w:r>
      <w:r>
        <w:rPr>
          <w:bCs/>
          <w:lang w:val="en-GB"/>
        </w:rPr>
        <w:t>2000</w:t>
      </w:r>
      <w:r w:rsidRPr="00863238">
        <w:rPr>
          <w:bCs/>
          <w:lang w:val="en-GB"/>
        </w:rPr>
        <w:t>.-</w:t>
      </w:r>
      <w:r w:rsidRPr="00863238">
        <w:rPr>
          <w:bCs/>
          <w:lang w:val="en-GB"/>
        </w:rPr>
        <w:tab/>
        <w:t>including 1 free registration &amp;</w:t>
      </w:r>
      <w:r>
        <w:rPr>
          <w:bCs/>
          <w:lang w:val="en-GB"/>
        </w:rPr>
        <w:t xml:space="preserve"> </w:t>
      </w:r>
      <w:r w:rsidRPr="00863238">
        <w:rPr>
          <w:bCs/>
          <w:lang w:val="en-GB"/>
        </w:rPr>
        <w:t>Conference Dinner</w:t>
      </w:r>
    </w:p>
    <w:p w14:paraId="6A940036" w14:textId="426946BB" w:rsidR="00686906" w:rsidRDefault="00686906" w:rsidP="00863238">
      <w:pPr>
        <w:jc w:val="both"/>
        <w:rPr>
          <w:bCs/>
          <w:lang w:val="en-GB"/>
        </w:rPr>
      </w:pPr>
    </w:p>
    <w:p w14:paraId="5BCB5BC8" w14:textId="5732C4CF" w:rsidR="00686906" w:rsidRDefault="00686906" w:rsidP="00863238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Table Top (if not include I the Sponsorship Package): € </w:t>
      </w:r>
      <w:proofErr w:type="gramStart"/>
      <w:r>
        <w:rPr>
          <w:bCs/>
          <w:lang w:val="en-GB"/>
        </w:rPr>
        <w:t>3,000.-</w:t>
      </w:r>
      <w:proofErr w:type="gramEnd"/>
    </w:p>
    <w:p w14:paraId="51B511B0" w14:textId="2A747AA2" w:rsidR="00686906" w:rsidRDefault="00686906" w:rsidP="00863238">
      <w:pPr>
        <w:jc w:val="both"/>
        <w:rPr>
          <w:bCs/>
          <w:lang w:val="en-GB"/>
        </w:rPr>
      </w:pPr>
    </w:p>
    <w:p w14:paraId="51916FB1" w14:textId="7DE4B368" w:rsidR="00686906" w:rsidRDefault="00686906" w:rsidP="00863238">
      <w:pPr>
        <w:jc w:val="both"/>
        <w:rPr>
          <w:bCs/>
          <w:lang w:val="en-GB"/>
        </w:rPr>
      </w:pPr>
      <w:r>
        <w:rPr>
          <w:bCs/>
          <w:lang w:val="en-GB"/>
        </w:rPr>
        <w:t xml:space="preserve">The Exhibition will be placed in the large foyer just in front of the main conference auditorium. There is a limit of 20 Table Tops/Exhibition Booths that can be accommodated. </w:t>
      </w:r>
      <w:r w:rsidRPr="00863238">
        <w:rPr>
          <w:bCs/>
          <w:lang w:val="en-GB"/>
        </w:rPr>
        <w:t xml:space="preserve">Table top spaces will be granted on a first come first serve basis. </w:t>
      </w:r>
      <w:r>
        <w:rPr>
          <w:bCs/>
          <w:lang w:val="en-GB"/>
        </w:rPr>
        <w:t xml:space="preserve">The welcome reception, all coffee breaks and all lunch breaks will be in the exhibition area to offer maximum exposure for the exhibits and table tops.  </w:t>
      </w:r>
    </w:p>
    <w:p w14:paraId="01FFB973" w14:textId="77777777" w:rsidR="00863238" w:rsidRPr="00863238" w:rsidRDefault="00863238" w:rsidP="00863238">
      <w:pPr>
        <w:jc w:val="both"/>
        <w:rPr>
          <w:bCs/>
          <w:lang w:val="en-GB"/>
        </w:rPr>
      </w:pPr>
    </w:p>
    <w:p w14:paraId="4A23DC1D" w14:textId="1E8F3300" w:rsidR="00863238" w:rsidRP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 xml:space="preserve">The Diamond and Platinum Sponsors may suggest their individual sponsorship expectations – some ideas can be found in the attached list. Diamond and Platinum are also considered for including their own workshop into the conference programme and are invited to give a technical talk in the technical programme. Only a limited number of Platinum and Gold Sponsors will be accepted. For a table top at the small conference exhibition a minimum of Silver Sponsorship is required. </w:t>
      </w:r>
    </w:p>
    <w:p w14:paraId="746D26E9" w14:textId="77777777" w:rsidR="00FF75B6" w:rsidRDefault="00FF75B6" w:rsidP="00863238">
      <w:pPr>
        <w:jc w:val="both"/>
        <w:rPr>
          <w:bCs/>
          <w:lang w:val="en-GB"/>
        </w:rPr>
      </w:pPr>
    </w:p>
    <w:p w14:paraId="5CC031A1" w14:textId="1A7ABC99" w:rsidR="00863238" w:rsidRDefault="00863238" w:rsidP="00863238">
      <w:pPr>
        <w:jc w:val="both"/>
        <w:rPr>
          <w:bCs/>
          <w:lang w:val="en-GB"/>
        </w:rPr>
      </w:pPr>
      <w:r w:rsidRPr="00863238">
        <w:rPr>
          <w:bCs/>
          <w:lang w:val="en-GB"/>
        </w:rPr>
        <w:t xml:space="preserve">On behalf of the Conference Organisers we would like to thank you in advance for your valuable support. We are hoping to see you in </w:t>
      </w:r>
      <w:r>
        <w:rPr>
          <w:bCs/>
          <w:lang w:val="en-GB"/>
        </w:rPr>
        <w:t>Rome</w:t>
      </w:r>
      <w:r w:rsidRPr="00863238">
        <w:rPr>
          <w:bCs/>
          <w:lang w:val="en-GB"/>
        </w:rPr>
        <w:t xml:space="preserve">! If you have any questions, please contact </w:t>
      </w:r>
      <w:hyperlink r:id="rId8" w:history="1">
        <w:r w:rsidRPr="004A773C">
          <w:rPr>
            <w:rStyle w:val="Hyperlink"/>
            <w:bCs/>
            <w:lang w:val="en-GB"/>
          </w:rPr>
          <w:t>roland.poms@moniqa.org</w:t>
        </w:r>
      </w:hyperlink>
      <w:r w:rsidRPr="00863238">
        <w:rPr>
          <w:bCs/>
          <w:lang w:val="en-GB"/>
        </w:rPr>
        <w:t xml:space="preserve">. </w:t>
      </w:r>
    </w:p>
    <w:p w14:paraId="71A1E81C" w14:textId="6B5272A7" w:rsidR="00FF75B6" w:rsidRDefault="00FF75B6" w:rsidP="00863238">
      <w:pPr>
        <w:jc w:val="both"/>
        <w:rPr>
          <w:bCs/>
          <w:lang w:val="en-GB"/>
        </w:rPr>
      </w:pPr>
    </w:p>
    <w:p w14:paraId="550573DE" w14:textId="4F8BC0E5" w:rsidR="00FF75B6" w:rsidRDefault="00FF75B6" w:rsidP="00863238">
      <w:pPr>
        <w:jc w:val="both"/>
        <w:rPr>
          <w:bCs/>
          <w:lang w:val="en-GB"/>
        </w:rPr>
      </w:pPr>
      <w:r>
        <w:rPr>
          <w:bCs/>
          <w:lang w:val="en-GB"/>
        </w:rPr>
        <w:t>Thank you for your support.</w:t>
      </w:r>
    </w:p>
    <w:p w14:paraId="3F7400D6" w14:textId="6050DDF1" w:rsidR="00FF75B6" w:rsidRDefault="00FF75B6" w:rsidP="00863238">
      <w:pPr>
        <w:jc w:val="both"/>
        <w:rPr>
          <w:bCs/>
          <w:lang w:val="en-GB"/>
        </w:rPr>
      </w:pPr>
    </w:p>
    <w:p w14:paraId="6EA98C47" w14:textId="77777777" w:rsidR="00FF75B6" w:rsidRDefault="00FF75B6" w:rsidP="00FF75B6">
      <w:pPr>
        <w:rPr>
          <w:rFonts w:asciiTheme="minorHAnsi" w:eastAsiaTheme="minorEastAsia" w:hAnsiTheme="minorHAnsi" w:cstheme="minorBidi"/>
          <w:b/>
          <w:bCs/>
          <w:i/>
          <w:iCs/>
          <w:noProof/>
          <w:color w:val="1F497D"/>
          <w:sz w:val="20"/>
          <w:szCs w:val="20"/>
          <w:lang w:val="en-US" w:eastAsia="de-AT"/>
        </w:rPr>
      </w:pPr>
      <w:bookmarkStart w:id="0" w:name="_MailAutoSig"/>
      <w:r>
        <w:rPr>
          <w:rFonts w:eastAsiaTheme="minorEastAsia"/>
          <w:b/>
          <w:bCs/>
          <w:i/>
          <w:iCs/>
          <w:noProof/>
          <w:color w:val="1F497D"/>
          <w:sz w:val="20"/>
          <w:szCs w:val="20"/>
          <w:lang w:val="en-US" w:eastAsia="de-AT"/>
        </w:rPr>
        <w:t>Prof. hc. Dr. Roland Ernest Poms</w:t>
      </w:r>
    </w:p>
    <w:p w14:paraId="79777A99" w14:textId="77777777" w:rsidR="00FF75B6" w:rsidRDefault="00FF75B6" w:rsidP="00FF75B6">
      <w:pPr>
        <w:rPr>
          <w:rFonts w:eastAsiaTheme="minorEastAsia"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noProof/>
          <w:color w:val="1F497D"/>
          <w:sz w:val="20"/>
          <w:szCs w:val="20"/>
          <w:lang w:val="en-US" w:eastAsia="de-AT"/>
        </w:rPr>
        <w:t>Secretary General</w:t>
      </w:r>
    </w:p>
    <w:p w14:paraId="77A734B1" w14:textId="77777777" w:rsidR="00FF75B6" w:rsidRDefault="00FF75B6" w:rsidP="00FF75B6">
      <w:pPr>
        <w:rPr>
          <w:rFonts w:eastAsiaTheme="minorEastAsia"/>
          <w:noProof/>
          <w:color w:val="1F497D"/>
          <w:sz w:val="20"/>
          <w:szCs w:val="20"/>
          <w:lang w:val="en-US" w:eastAsia="de-AT"/>
        </w:rPr>
      </w:pPr>
    </w:p>
    <w:p w14:paraId="649D66E8" w14:textId="77777777" w:rsidR="00FF75B6" w:rsidRDefault="00FF75B6" w:rsidP="00FF75B6">
      <w:pP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  <w:t>MoniQA Association</w:t>
      </w:r>
    </w:p>
    <w:p w14:paraId="0581AED2" w14:textId="77777777" w:rsidR="00FF75B6" w:rsidRDefault="00FF75B6" w:rsidP="00FF75B6">
      <w:pP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  <w:t>Europastrasse 1</w:t>
      </w:r>
    </w:p>
    <w:p w14:paraId="5B1C6E47" w14:textId="77777777" w:rsidR="00FF75B6" w:rsidRDefault="00FF75B6" w:rsidP="00FF75B6">
      <w:pP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  <w:t>A-7540 Güssing</w:t>
      </w:r>
    </w:p>
    <w:p w14:paraId="6CBF7846" w14:textId="77777777" w:rsidR="00FF75B6" w:rsidRDefault="00FF75B6" w:rsidP="00FF75B6">
      <w:pP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b/>
          <w:bCs/>
          <w:noProof/>
          <w:color w:val="1F497D"/>
          <w:sz w:val="20"/>
          <w:szCs w:val="20"/>
          <w:lang w:val="en-US" w:eastAsia="de-AT"/>
        </w:rPr>
        <w:t>Austria</w:t>
      </w:r>
    </w:p>
    <w:p w14:paraId="08761782" w14:textId="77777777" w:rsidR="00FF75B6" w:rsidRDefault="00FF75B6" w:rsidP="00FF75B6">
      <w:pPr>
        <w:rPr>
          <w:rFonts w:eastAsiaTheme="minorEastAsia"/>
          <w:noProof/>
          <w:color w:val="1F497D"/>
          <w:sz w:val="20"/>
          <w:szCs w:val="20"/>
          <w:lang w:val="en-US" w:eastAsia="de-AT"/>
        </w:rPr>
      </w:pPr>
      <w:r>
        <w:rPr>
          <w:rFonts w:eastAsiaTheme="minorEastAsia"/>
          <w:noProof/>
          <w:color w:val="1F497D"/>
          <w:sz w:val="20"/>
          <w:szCs w:val="20"/>
          <w:lang w:val="en-US" w:eastAsia="de-AT"/>
        </w:rPr>
        <w:t xml:space="preserve">W: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  <w:lang w:val="en-US" w:eastAsia="de-AT"/>
          </w:rPr>
          <w:t>http://www.moniqa.org/</w:t>
        </w:r>
      </w:hyperlink>
    </w:p>
    <w:p w14:paraId="3570964B" w14:textId="77777777" w:rsidR="00FF75B6" w:rsidRDefault="00FF75B6" w:rsidP="00FF75B6">
      <w:pPr>
        <w:rPr>
          <w:rFonts w:eastAsiaTheme="minorEastAsia"/>
          <w:noProof/>
          <w:color w:val="1F497D"/>
          <w:sz w:val="20"/>
          <w:szCs w:val="20"/>
          <w:lang w:eastAsia="de-AT"/>
        </w:rPr>
      </w:pPr>
      <w:r>
        <w:rPr>
          <w:rFonts w:eastAsiaTheme="minorEastAsia"/>
          <w:noProof/>
          <w:color w:val="1F497D"/>
          <w:sz w:val="20"/>
          <w:szCs w:val="20"/>
          <w:lang w:val="de-DE" w:eastAsia="de-AT"/>
        </w:rPr>
        <w:t xml:space="preserve">E: </w:t>
      </w:r>
      <w:hyperlink r:id="rId10" w:history="1">
        <w:r>
          <w:rPr>
            <w:rStyle w:val="Hyperlink"/>
            <w:rFonts w:eastAsiaTheme="minorEastAsia"/>
            <w:noProof/>
            <w:sz w:val="20"/>
            <w:szCs w:val="20"/>
            <w:lang w:val="de-DE" w:eastAsia="de-AT"/>
          </w:rPr>
          <w:t>roland.poms@moniqa.org</w:t>
        </w:r>
      </w:hyperlink>
    </w:p>
    <w:p w14:paraId="3B427A56" w14:textId="77777777" w:rsidR="00FF75B6" w:rsidRDefault="00FF75B6" w:rsidP="00FF75B6">
      <w:pPr>
        <w:rPr>
          <w:rFonts w:eastAsiaTheme="minorEastAsia"/>
          <w:noProof/>
          <w:color w:val="1F497D"/>
          <w:sz w:val="20"/>
          <w:szCs w:val="20"/>
          <w:lang w:eastAsia="de-AT"/>
        </w:rPr>
      </w:pPr>
      <w:r>
        <w:rPr>
          <w:rFonts w:eastAsiaTheme="minorEastAsia"/>
          <w:noProof/>
          <w:color w:val="1F497D"/>
          <w:sz w:val="20"/>
          <w:szCs w:val="20"/>
          <w:lang w:eastAsia="de-AT"/>
        </w:rPr>
        <w:t>M: +43 676 5516636</w:t>
      </w:r>
      <w:bookmarkStart w:id="1" w:name="_GoBack"/>
      <w:bookmarkEnd w:id="0"/>
      <w:bookmarkEnd w:id="1"/>
    </w:p>
    <w:sectPr w:rsidR="00FF75B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B6F9" w14:textId="77777777" w:rsidR="00166E26" w:rsidRDefault="00166E26" w:rsidP="00FF75B6">
      <w:r>
        <w:separator/>
      </w:r>
    </w:p>
  </w:endnote>
  <w:endnote w:type="continuationSeparator" w:id="0">
    <w:p w14:paraId="270986B9" w14:textId="77777777" w:rsidR="00166E26" w:rsidRDefault="00166E26" w:rsidP="00F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E439" w14:textId="77777777" w:rsidR="00166E26" w:rsidRDefault="00166E26" w:rsidP="00FF75B6">
      <w:r>
        <w:separator/>
      </w:r>
    </w:p>
  </w:footnote>
  <w:footnote w:type="continuationSeparator" w:id="0">
    <w:p w14:paraId="56AD41B0" w14:textId="77777777" w:rsidR="00166E26" w:rsidRDefault="00166E26" w:rsidP="00FF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55D3" w14:textId="24DDC5D2" w:rsidR="00FF75B6" w:rsidRDefault="00FF75B6">
    <w:pPr>
      <w:pStyle w:val="Kopfzeile"/>
    </w:pPr>
    <w:r>
      <w:rPr>
        <w:noProof/>
      </w:rPr>
      <w:drawing>
        <wp:inline distT="0" distB="0" distL="0" distR="0" wp14:anchorId="60FC8334" wp14:editId="524242EC">
          <wp:extent cx="5699760" cy="10112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181" cy="102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A9F"/>
    <w:multiLevelType w:val="hybridMultilevel"/>
    <w:tmpl w:val="68840B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75D06"/>
    <w:multiLevelType w:val="hybridMultilevel"/>
    <w:tmpl w:val="F1CA5C76"/>
    <w:lvl w:ilvl="0" w:tplc="C72A5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3A03"/>
    <w:multiLevelType w:val="hybridMultilevel"/>
    <w:tmpl w:val="83FE45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D4660"/>
    <w:multiLevelType w:val="hybridMultilevel"/>
    <w:tmpl w:val="174C1ED8"/>
    <w:lvl w:ilvl="0" w:tplc="C72A5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C6337E"/>
    <w:multiLevelType w:val="hybridMultilevel"/>
    <w:tmpl w:val="419A13A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3"/>
    <w:rsid w:val="00013EA3"/>
    <w:rsid w:val="00015CF0"/>
    <w:rsid w:val="00022A47"/>
    <w:rsid w:val="000941FC"/>
    <w:rsid w:val="000B2C00"/>
    <w:rsid w:val="00117951"/>
    <w:rsid w:val="00151D63"/>
    <w:rsid w:val="00156847"/>
    <w:rsid w:val="00166E26"/>
    <w:rsid w:val="001A05B0"/>
    <w:rsid w:val="00232743"/>
    <w:rsid w:val="00271B52"/>
    <w:rsid w:val="002E704F"/>
    <w:rsid w:val="002F1668"/>
    <w:rsid w:val="00350B7F"/>
    <w:rsid w:val="003753EB"/>
    <w:rsid w:val="003802B6"/>
    <w:rsid w:val="003B78A0"/>
    <w:rsid w:val="0046476C"/>
    <w:rsid w:val="0046732C"/>
    <w:rsid w:val="00487FEA"/>
    <w:rsid w:val="004C4472"/>
    <w:rsid w:val="00505FFE"/>
    <w:rsid w:val="00534CCF"/>
    <w:rsid w:val="005638CB"/>
    <w:rsid w:val="00563EE7"/>
    <w:rsid w:val="00566F56"/>
    <w:rsid w:val="005E035E"/>
    <w:rsid w:val="005F3D35"/>
    <w:rsid w:val="006548B7"/>
    <w:rsid w:val="00655673"/>
    <w:rsid w:val="00677AE6"/>
    <w:rsid w:val="00686906"/>
    <w:rsid w:val="00691998"/>
    <w:rsid w:val="00695212"/>
    <w:rsid w:val="006F61B9"/>
    <w:rsid w:val="007A4B99"/>
    <w:rsid w:val="007D1E83"/>
    <w:rsid w:val="007D467B"/>
    <w:rsid w:val="008024FA"/>
    <w:rsid w:val="00825A24"/>
    <w:rsid w:val="00863238"/>
    <w:rsid w:val="00892D91"/>
    <w:rsid w:val="008F29D0"/>
    <w:rsid w:val="008F2AA2"/>
    <w:rsid w:val="008F4893"/>
    <w:rsid w:val="00931920"/>
    <w:rsid w:val="00946389"/>
    <w:rsid w:val="009676E8"/>
    <w:rsid w:val="009764FA"/>
    <w:rsid w:val="00A00385"/>
    <w:rsid w:val="00AC4AA3"/>
    <w:rsid w:val="00B8518A"/>
    <w:rsid w:val="00C125DF"/>
    <w:rsid w:val="00C35DFC"/>
    <w:rsid w:val="00C36E70"/>
    <w:rsid w:val="00C52615"/>
    <w:rsid w:val="00C658A8"/>
    <w:rsid w:val="00C703D5"/>
    <w:rsid w:val="00C92877"/>
    <w:rsid w:val="00CF507E"/>
    <w:rsid w:val="00CF6F1D"/>
    <w:rsid w:val="00D051A4"/>
    <w:rsid w:val="00D21697"/>
    <w:rsid w:val="00D32A28"/>
    <w:rsid w:val="00D46692"/>
    <w:rsid w:val="00D90066"/>
    <w:rsid w:val="00E22022"/>
    <w:rsid w:val="00E4126E"/>
    <w:rsid w:val="00E50B82"/>
    <w:rsid w:val="00E54A5D"/>
    <w:rsid w:val="00E70198"/>
    <w:rsid w:val="00F13543"/>
    <w:rsid w:val="00F14290"/>
    <w:rsid w:val="00F3331C"/>
    <w:rsid w:val="00F50D12"/>
    <w:rsid w:val="00F764A0"/>
    <w:rsid w:val="00F96047"/>
    <w:rsid w:val="00F967A1"/>
    <w:rsid w:val="00FC66D1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BFCF"/>
  <w15:chartTrackingRefBased/>
  <w15:docId w15:val="{D0AFC1C5-F827-40B8-88DA-AEB1F58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E8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1E83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E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A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AA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6F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75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5B6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F75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7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poms@moniq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odsafetyrome2020.moniqa.org/sites/default/files/pdf/MoniQA-Conference-Rome-2020-Sponsoring-Form_2020-02-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land.poms@moniq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iq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Poms, Roland (AGF)</dc:creator>
  <cp:keywords/>
  <dc:description/>
  <cp:lastModifiedBy>Roland Poms</cp:lastModifiedBy>
  <cp:revision>2</cp:revision>
  <dcterms:created xsi:type="dcterms:W3CDTF">2020-03-02T09:33:00Z</dcterms:created>
  <dcterms:modified xsi:type="dcterms:W3CDTF">2020-03-02T09:33:00Z</dcterms:modified>
</cp:coreProperties>
</file>